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E9" w:rsidRPr="00C85A17" w:rsidRDefault="00C36C64" w:rsidP="00C36C64">
      <w:pPr>
        <w:spacing w:after="360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</w:pPr>
      <w:r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Annexe 5 bis : 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NOTE D’INSTRUCTION de la CPP </w:t>
      </w:r>
      <w:r w:rsidR="004C3E90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- 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Tranche</w:t>
      </w:r>
      <w:r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 2 </w:t>
      </w:r>
      <w:r w:rsidR="004C3E90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(</w:t>
      </w:r>
      <w:r w:rsidR="007B20E9" w:rsidRPr="00C85A17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NIP Tranche 2)</w:t>
      </w:r>
      <w:r w:rsidR="007B20E9" w:rsidRPr="00C85A17">
        <w:rPr>
          <w:rFonts w:ascii="Century Gothic" w:hAnsi="Century Gothic"/>
          <w:b/>
          <w:bCs/>
          <w:iCs/>
          <w:sz w:val="32"/>
          <w:szCs w:val="32"/>
          <w:u w:val="single"/>
        </w:rPr>
        <w:t xml:space="preserve"> </w:t>
      </w:r>
    </w:p>
    <w:p w:rsidR="007B20E9" w:rsidRPr="00C85A17" w:rsidRDefault="007B20E9" w:rsidP="007B20E9">
      <w:pPr>
        <w:rPr>
          <w:rFonts w:ascii="Century Gothic" w:hAnsi="Century Gothic"/>
          <w:b/>
          <w:bCs/>
          <w:iCs/>
          <w:sz w:val="24"/>
          <w:szCs w:val="24"/>
        </w:rPr>
      </w:pPr>
    </w:p>
    <w:p w:rsidR="007B20E9" w:rsidRPr="00C85A17" w:rsidRDefault="007B20E9" w:rsidP="007B20E9">
      <w:pPr>
        <w:jc w:val="both"/>
        <w:rPr>
          <w:rFonts w:ascii="Century Gothic" w:hAnsi="Century Gothic"/>
          <w:bCs/>
        </w:rPr>
      </w:pPr>
      <w:r w:rsidRPr="00C85A17">
        <w:rPr>
          <w:rFonts w:ascii="Century Gothic" w:hAnsi="Century Gothic"/>
          <w:bCs/>
        </w:rPr>
        <w:t xml:space="preserve">NB : L’instruction et l’octroi de la seconde tranche </w:t>
      </w:r>
      <w:r w:rsidR="004C3E90">
        <w:rPr>
          <w:rFonts w:ascii="Century Gothic" w:hAnsi="Century Gothic"/>
          <w:bCs/>
        </w:rPr>
        <w:t xml:space="preserve">d’une CPP </w:t>
      </w:r>
      <w:bookmarkStart w:id="0" w:name="_GoBack"/>
      <w:bookmarkEnd w:id="0"/>
      <w:r w:rsidRPr="00C85A17">
        <w:rPr>
          <w:rFonts w:ascii="Century Gothic" w:hAnsi="Century Gothic"/>
          <w:bCs/>
        </w:rPr>
        <w:t xml:space="preserve">se feront sur </w:t>
      </w:r>
      <w:r w:rsidRPr="00C85A17">
        <w:rPr>
          <w:rFonts w:ascii="Century Gothic" w:hAnsi="Century Gothic"/>
          <w:bCs/>
          <w:u w:val="single"/>
        </w:rPr>
        <w:t>la base de documents provisoires</w:t>
      </w:r>
      <w:r w:rsidRPr="00C85A17">
        <w:rPr>
          <w:rFonts w:ascii="Century Gothic" w:hAnsi="Century Gothic"/>
          <w:bCs/>
        </w:rPr>
        <w:t xml:space="preserve"> (bilan d’activité provisoire de la tranche 1, programme prévisionnel tranche 2, budget provisoire de la tranche 1 et budget prévisionnel tranche 2). </w:t>
      </w:r>
    </w:p>
    <w:p w:rsidR="007B20E9" w:rsidRPr="00C85A17" w:rsidRDefault="007B20E9" w:rsidP="007B20E9">
      <w:pPr>
        <w:jc w:val="both"/>
        <w:rPr>
          <w:rFonts w:ascii="Century Gothic" w:hAnsi="Century Gothic"/>
          <w:bCs/>
          <w:color w:val="FF0000"/>
          <w:sz w:val="28"/>
          <w:szCs w:val="28"/>
        </w:rPr>
      </w:pPr>
      <w:r w:rsidRPr="00C85A17">
        <w:rPr>
          <w:rFonts w:ascii="Century Gothic" w:hAnsi="Century Gothic"/>
          <w:bCs/>
        </w:rPr>
        <w:t xml:space="preserve">A noter que </w:t>
      </w:r>
      <w:r w:rsidRPr="00C85A17">
        <w:rPr>
          <w:rFonts w:ascii="Century Gothic" w:hAnsi="Century Gothic"/>
          <w:bCs/>
          <w:u w:val="single"/>
        </w:rPr>
        <w:t>ces documents définitifs</w:t>
      </w:r>
      <w:r w:rsidRPr="00C85A17">
        <w:rPr>
          <w:rFonts w:ascii="Century Gothic" w:hAnsi="Century Gothic"/>
          <w:bCs/>
        </w:rPr>
        <w:t xml:space="preserve"> devront être communiqués </w:t>
      </w:r>
      <w:r w:rsidRPr="00C85A17">
        <w:rPr>
          <w:rFonts w:ascii="Century Gothic" w:hAnsi="Century Gothic"/>
          <w:b/>
          <w:bCs/>
        </w:rPr>
        <w:t>au maximum 6 mois</w:t>
      </w:r>
      <w:r w:rsidRPr="00C85A17">
        <w:rPr>
          <w:rFonts w:ascii="Century Gothic" w:hAnsi="Century Gothic"/>
          <w:bCs/>
        </w:rPr>
        <w:t xml:space="preserve"> après le décaissement de la Tranche 2 du programme CPP</w:t>
      </w:r>
      <w:r w:rsidR="004C3E90" w:rsidRPr="004C3E90">
        <w:rPr>
          <w:rFonts w:ascii="Century Gothic" w:hAnsi="Century Gothic"/>
          <w:bCs/>
          <w:sz w:val="28"/>
          <w:szCs w:val="28"/>
        </w:rPr>
        <w:t>.</w:t>
      </w:r>
    </w:p>
    <w:p w:rsidR="007B20E9" w:rsidRPr="00C85A17" w:rsidRDefault="007B20E9" w:rsidP="007B20E9">
      <w:pPr>
        <w:spacing w:after="200" w:line="276" w:lineRule="auto"/>
        <w:ind w:left="708"/>
        <w:contextualSpacing/>
        <w:rPr>
          <w:rFonts w:ascii="Century Gothic" w:hAnsi="Century Gothic"/>
          <w:b/>
        </w:rPr>
      </w:pPr>
    </w:p>
    <w:p w:rsidR="007B20E9" w:rsidRPr="007834C3" w:rsidRDefault="007B20E9" w:rsidP="007B20E9">
      <w:pPr>
        <w:spacing w:after="200" w:line="276" w:lineRule="auto"/>
        <w:contextualSpacing/>
        <w:rPr>
          <w:rFonts w:ascii="Century Gothic" w:hAnsi="Century Gothic"/>
          <w:b/>
          <w:color w:val="0070C0"/>
          <w:sz w:val="32"/>
          <w:szCs w:val="32"/>
        </w:rPr>
      </w:pPr>
      <w:r w:rsidRPr="007834C3">
        <w:rPr>
          <w:rFonts w:ascii="Century Gothic" w:hAnsi="Century Gothic"/>
          <w:b/>
          <w:color w:val="0070C0"/>
          <w:sz w:val="24"/>
          <w:szCs w:val="24"/>
          <w:u w:val="single"/>
        </w:rPr>
        <w:t xml:space="preserve">Modèle NOTE D’INSTRUCTION de la CPP tranche 2 </w:t>
      </w:r>
      <w:r w:rsidRPr="007834C3">
        <w:rPr>
          <w:rFonts w:ascii="Century Gothic" w:hAnsi="Century Gothic"/>
          <w:b/>
          <w:color w:val="0070C0"/>
          <w:sz w:val="24"/>
          <w:szCs w:val="24"/>
        </w:rPr>
        <w:t xml:space="preserve">(15 pages hors budget) </w:t>
      </w:r>
      <w:r w:rsidRPr="007834C3">
        <w:rPr>
          <w:rFonts w:ascii="Century Gothic" w:hAnsi="Century Gothic"/>
          <w:b/>
          <w:color w:val="0070C0"/>
          <w:sz w:val="32"/>
          <w:szCs w:val="32"/>
        </w:rPr>
        <w:t xml:space="preserve">: </w:t>
      </w: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sz w:val="24"/>
          <w:szCs w:val="28"/>
          <w:u w:val="single"/>
        </w:rPr>
      </w:pPr>
      <w:r>
        <w:rPr>
          <w:rFonts w:ascii="Century Gothic" w:hAnsi="Century Gothic"/>
          <w:b/>
          <w:sz w:val="24"/>
          <w:szCs w:val="28"/>
          <w:u w:val="single"/>
        </w:rPr>
        <w:t>1è</w:t>
      </w:r>
      <w:r w:rsidR="007B20E9" w:rsidRPr="00231FDD">
        <w:rPr>
          <w:rFonts w:ascii="Century Gothic" w:hAnsi="Century Gothic"/>
          <w:b/>
          <w:sz w:val="24"/>
          <w:szCs w:val="28"/>
          <w:u w:val="single"/>
        </w:rPr>
        <w:t xml:space="preserve">re partie : </w:t>
      </w:r>
      <w:r w:rsidR="007B20E9" w:rsidRPr="00231FDD">
        <w:rPr>
          <w:rFonts w:ascii="Century Gothic" w:hAnsi="Century Gothic"/>
          <w:b/>
          <w:bCs/>
          <w:sz w:val="24"/>
          <w:szCs w:val="28"/>
          <w:u w:val="single"/>
        </w:rPr>
        <w:t>Bilan d’activités de la première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Evolutions significatives du contexte global du projet</w:t>
      </w:r>
      <w:r w:rsidRPr="00C85A17">
        <w:rPr>
          <w:rFonts w:ascii="Century Gothic" w:hAnsi="Century Gothic"/>
        </w:rPr>
        <w:t xml:space="preserve"> (à préciser le cas échéant par thématique et par pays).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Evaluation globale de l’atteinte des objectifs </w:t>
      </w:r>
      <w:r w:rsidRPr="00C85A17">
        <w:rPr>
          <w:rFonts w:ascii="Century Gothic" w:hAnsi="Century Gothic"/>
        </w:rPr>
        <w:t xml:space="preserve">par thématique 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Actions de suivi éventuellement entreprises suite au comité tripartite intermédiaire (CTI) de la première phase.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Réalisations principales du projet par Objectif Spécifique (indicateur et état d’avancement de résultat dûment remplis accompagnés d’un narratif explicatif).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</w:rPr>
      </w:pPr>
      <w:r w:rsidRPr="00C85A17">
        <w:rPr>
          <w:rFonts w:ascii="Century Gothic" w:hAnsi="Century Gothic"/>
          <w:bCs/>
          <w:iCs/>
        </w:rPr>
        <w:t>Pilotage et mécanismes de gouvernance du programme mis en place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Prise en compte des thématiques transversales</w:t>
      </w:r>
      <w:r w:rsidRPr="00C85A17">
        <w:rPr>
          <w:rFonts w:ascii="Century Gothic" w:hAnsi="Century Gothic"/>
        </w:rPr>
        <w:t xml:space="preserve"> et des objectifs du développement durable (ODD). 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Capitalisation et communication </w:t>
      </w:r>
    </w:p>
    <w:p w:rsidR="007B20E9" w:rsidRPr="00C85A17" w:rsidRDefault="007B20E9" w:rsidP="007B20E9">
      <w:pPr>
        <w:rPr>
          <w:rFonts w:ascii="Century Gothic" w:hAnsi="Century Gothic"/>
          <w:b/>
          <w:bCs/>
          <w:i/>
          <w:iCs/>
        </w:rPr>
      </w:pP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b/>
          <w:bCs/>
          <w:sz w:val="24"/>
          <w:szCs w:val="28"/>
          <w:u w:val="single"/>
        </w:rPr>
      </w:pPr>
      <w:r>
        <w:rPr>
          <w:rFonts w:ascii="Century Gothic" w:hAnsi="Century Gothic"/>
          <w:b/>
          <w:bCs/>
          <w:iCs/>
          <w:sz w:val="24"/>
          <w:szCs w:val="28"/>
          <w:u w:val="single"/>
        </w:rPr>
        <w:t>2è</w:t>
      </w:r>
      <w:r w:rsidR="007B20E9" w:rsidRPr="00231FDD">
        <w:rPr>
          <w:rFonts w:ascii="Century Gothic" w:hAnsi="Century Gothic"/>
          <w:b/>
          <w:bCs/>
          <w:iCs/>
          <w:sz w:val="24"/>
          <w:szCs w:val="28"/>
          <w:u w:val="single"/>
        </w:rPr>
        <w:t>me Partie</w:t>
      </w:r>
      <w:r w:rsidR="007B20E9" w:rsidRPr="00231FDD">
        <w:rPr>
          <w:rFonts w:ascii="Century Gothic" w:hAnsi="Century Gothic"/>
          <w:b/>
          <w:bCs/>
          <w:i/>
          <w:iCs/>
          <w:sz w:val="24"/>
          <w:szCs w:val="28"/>
          <w:u w:val="single"/>
        </w:rPr>
        <w:t xml:space="preserve"> : </w:t>
      </w:r>
      <w:r w:rsidR="007B20E9" w:rsidRPr="00231FDD">
        <w:rPr>
          <w:rFonts w:ascii="Century Gothic" w:hAnsi="Century Gothic"/>
          <w:b/>
          <w:bCs/>
          <w:sz w:val="24"/>
          <w:szCs w:val="28"/>
          <w:u w:val="single"/>
        </w:rPr>
        <w:t>Programme prévisionnel de la seconde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  <w:b/>
          <w:bCs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Présentation des enjeux thématiques de la CPP pour la deuxième tranche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Présentation du plan d’actions et du cadre logique pour la seconde tranche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>Modalités d’évaluation prévues</w:t>
      </w:r>
    </w:p>
    <w:p w:rsidR="007B20E9" w:rsidRPr="00231FDD" w:rsidRDefault="007B20E9" w:rsidP="007B20E9">
      <w:pPr>
        <w:pStyle w:val="Paragraphedeliste"/>
        <w:ind w:left="1800"/>
        <w:rPr>
          <w:rFonts w:ascii="Century Gothic" w:hAnsi="Century Gothic"/>
          <w:b/>
          <w:bCs/>
          <w:i/>
          <w:iCs/>
          <w:sz w:val="20"/>
        </w:rPr>
      </w:pPr>
    </w:p>
    <w:p w:rsidR="007B20E9" w:rsidRPr="00231FDD" w:rsidRDefault="00231FDD" w:rsidP="007B20E9">
      <w:pPr>
        <w:pStyle w:val="Paragraphedeliste"/>
        <w:ind w:left="1080"/>
        <w:rPr>
          <w:rFonts w:ascii="Century Gothic" w:hAnsi="Century Gothic"/>
          <w:b/>
          <w:bCs/>
          <w:iCs/>
          <w:sz w:val="24"/>
          <w:szCs w:val="28"/>
          <w:u w:val="single"/>
        </w:rPr>
      </w:pPr>
      <w:r>
        <w:rPr>
          <w:rFonts w:ascii="Century Gothic" w:hAnsi="Century Gothic"/>
          <w:b/>
          <w:bCs/>
          <w:iCs/>
          <w:sz w:val="24"/>
          <w:szCs w:val="28"/>
          <w:u w:val="single"/>
        </w:rPr>
        <w:t>3è</w:t>
      </w:r>
      <w:r w:rsidR="007B20E9" w:rsidRPr="00231FDD">
        <w:rPr>
          <w:rFonts w:ascii="Century Gothic" w:hAnsi="Century Gothic"/>
          <w:b/>
          <w:bCs/>
          <w:iCs/>
          <w:sz w:val="24"/>
          <w:szCs w:val="28"/>
          <w:u w:val="single"/>
        </w:rPr>
        <w:t>me partie : Budget prévisionnel de la seconde tranche</w:t>
      </w:r>
    </w:p>
    <w:p w:rsidR="007B20E9" w:rsidRPr="00C85A17" w:rsidRDefault="007B20E9" w:rsidP="007B20E9">
      <w:pPr>
        <w:pStyle w:val="Paragraphedeliste"/>
        <w:ind w:left="1080"/>
        <w:rPr>
          <w:rFonts w:ascii="Century Gothic" w:hAnsi="Century Gothic"/>
          <w:b/>
          <w:bCs/>
          <w:iCs/>
          <w:sz w:val="28"/>
          <w:szCs w:val="28"/>
        </w:rPr>
      </w:pP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Réalisé budgétaire tranche 1 et budget prévisionnel de la seconde tranche sous </w:t>
      </w:r>
      <w:r w:rsidR="001D2B7C" w:rsidRPr="00C85A17">
        <w:rPr>
          <w:rFonts w:ascii="Century Gothic" w:hAnsi="Century Gothic"/>
          <w:bCs/>
          <w:iCs/>
        </w:rPr>
        <w:t>tableau Excel</w:t>
      </w:r>
    </w:p>
    <w:p w:rsidR="007B20E9" w:rsidRPr="00C85A17" w:rsidRDefault="007B20E9" w:rsidP="007B20E9">
      <w:pPr>
        <w:pStyle w:val="Paragraphedeliste"/>
        <w:numPr>
          <w:ilvl w:val="1"/>
          <w:numId w:val="1"/>
        </w:numPr>
        <w:rPr>
          <w:rFonts w:ascii="Century Gothic" w:hAnsi="Century Gothic"/>
          <w:bCs/>
          <w:iCs/>
        </w:rPr>
      </w:pPr>
      <w:r w:rsidRPr="00C85A17">
        <w:rPr>
          <w:rFonts w:ascii="Century Gothic" w:hAnsi="Century Gothic"/>
          <w:bCs/>
          <w:iCs/>
        </w:rPr>
        <w:t xml:space="preserve">Explication des variations budgétaires significatives (variations de +/- 10%). </w:t>
      </w:r>
    </w:p>
    <w:p w:rsidR="0058298E" w:rsidRPr="00C85A17" w:rsidRDefault="004C3E90">
      <w:pPr>
        <w:rPr>
          <w:rFonts w:ascii="Century Gothic" w:hAnsi="Century Gothic"/>
        </w:rPr>
      </w:pPr>
    </w:p>
    <w:sectPr w:rsidR="0058298E" w:rsidRPr="00C8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altName w:val="Chalkboard"/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42B1"/>
    <w:multiLevelType w:val="hybridMultilevel"/>
    <w:tmpl w:val="F4086B66"/>
    <w:lvl w:ilvl="0" w:tplc="7DCC80F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7EE3"/>
    <w:multiLevelType w:val="hybridMultilevel"/>
    <w:tmpl w:val="4F6C5CCE"/>
    <w:lvl w:ilvl="0" w:tplc="CB16A0AC">
      <w:start w:val="1"/>
      <w:numFmt w:val="upp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E9"/>
    <w:rsid w:val="001D2B7C"/>
    <w:rsid w:val="00231FDD"/>
    <w:rsid w:val="004C3E90"/>
    <w:rsid w:val="007834C3"/>
    <w:rsid w:val="007B20E9"/>
    <w:rsid w:val="00C36C64"/>
    <w:rsid w:val="00C85A17"/>
    <w:rsid w:val="00CA1B46"/>
    <w:rsid w:val="00E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37A2"/>
  <w15:chartTrackingRefBased/>
  <w15:docId w15:val="{AE571931-F71E-4BC5-BDAC-D45493C5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0E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0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6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1447</Characters>
  <Application>Microsoft Office Word</Application>
  <DocSecurity>0</DocSecurity>
  <Lines>12</Lines>
  <Paragraphs>3</Paragraphs>
  <ScaleCrop>false</ScaleCrop>
  <Company>AFD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PICOU-LAPORTE Yan</dc:creator>
  <cp:keywords/>
  <dc:description/>
  <cp:lastModifiedBy>HUGUENIN Valérie</cp:lastModifiedBy>
  <cp:revision>7</cp:revision>
  <dcterms:created xsi:type="dcterms:W3CDTF">2021-01-31T19:16:00Z</dcterms:created>
  <dcterms:modified xsi:type="dcterms:W3CDTF">2022-11-16T14:04:00Z</dcterms:modified>
</cp:coreProperties>
</file>